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225B" w14:textId="38BD311C"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61E398F1"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5908A735" w14:textId="77777777" w:rsidR="00345F85" w:rsidRDefault="00345F85">
      <w:pPr>
        <w:spacing w:before="120" w:after="120" w:line="360" w:lineRule="auto"/>
        <w:rPr>
          <w:kern w:val="2"/>
          <w:lang w:eastAsia="en-GB"/>
          <w14:ligatures w14:val="standardContextual"/>
        </w:rPr>
      </w:pPr>
      <w:r>
        <w:rPr>
          <w:rFonts w:ascii="Arial" w:hAnsi="Arial" w:cs="Arial"/>
          <w:sz w:val="22"/>
          <w:szCs w:val="22"/>
        </w:rPr>
        <w:t>The setting is responsible for protecting the health, safety and welfare of all staff and volunteers in its services, so far as is reasonably practicable, and has a duty of care in relation to their physical and emotional well-being. We believe that work-related violence and aggression (including verbal abuse, threats, intimidation, harassment and physical assault) towards staff or volunteers is unacceptable and will not be tolerated. Where such behaviour occurs, we will take prompt, reasonable and proportionate action to protect staff and volunteers, to maintain a safe environment for children, and to support those affected.</w:t>
      </w:r>
    </w:p>
    <w:p w14:paraId="47604036" w14:textId="77777777" w:rsidR="00345F85" w:rsidRPr="00345F85" w:rsidRDefault="00345F85" w:rsidP="00E8794E">
      <w:pPr>
        <w:pStyle w:val="ListParagraph"/>
        <w:numPr>
          <w:ilvl w:val="0"/>
          <w:numId w:val="15"/>
        </w:numPr>
        <w:spacing w:line="360" w:lineRule="auto"/>
        <w:rPr>
          <w:kern w:val="2"/>
          <w14:ligatures w14:val="standardContextual"/>
        </w:rPr>
      </w:pPr>
      <w:r w:rsidRPr="00345F85">
        <w:rPr>
          <w:rFonts w:ascii="Arial" w:hAnsi="Arial" w:cs="Arial"/>
          <w:sz w:val="22"/>
          <w:szCs w:val="22"/>
        </w:rPr>
        <w:t>Staff and volunteers have the right to be treated with dignity and respect and to work in a safe environment. The setting will take reports of abuse, threats, violence, harassment or intimidation seriously and will respond promptly and appropriately.</w:t>
      </w:r>
    </w:p>
    <w:p w14:paraId="1D852945" w14:textId="77777777" w:rsidR="00345F85" w:rsidRPr="00345F85" w:rsidRDefault="00345F85" w:rsidP="00E8794E">
      <w:pPr>
        <w:pStyle w:val="ListParagraph"/>
        <w:numPr>
          <w:ilvl w:val="0"/>
          <w:numId w:val="15"/>
        </w:numPr>
        <w:spacing w:line="360" w:lineRule="auto"/>
        <w:rPr>
          <w:kern w:val="2"/>
          <w14:ligatures w14:val="standardContextual"/>
        </w:rPr>
      </w:pPr>
      <w:r w:rsidRPr="00345F85">
        <w:rPr>
          <w:rFonts w:ascii="Arial" w:hAnsi="Arial" w:cs="Arial"/>
          <w:sz w:val="22"/>
          <w:szCs w:val="22"/>
        </w:rPr>
        <w:t>Unreasonable behaviour may include abusive, insulting, discriminatory, intimidating or aggressive language (including in writing or online). We will usually try to address concerns early and informally where it is safe to do so. Where informal action is not appropriate or has proved ineffective, we may take further steps, including restricting or withdrawing permission to be on the premises, in line with safeguarding requirements and the law.</w:t>
      </w:r>
    </w:p>
    <w:p w14:paraId="69C2738A" w14:textId="77777777" w:rsidR="00345F85" w:rsidRPr="00345F85" w:rsidRDefault="00345F85" w:rsidP="00E8794E">
      <w:pPr>
        <w:pStyle w:val="ListParagraph"/>
        <w:numPr>
          <w:ilvl w:val="0"/>
          <w:numId w:val="15"/>
        </w:numPr>
        <w:spacing w:line="360" w:lineRule="auto"/>
        <w:rPr>
          <w:kern w:val="2"/>
          <w14:ligatures w14:val="standardContextual"/>
        </w:rPr>
      </w:pPr>
      <w:r w:rsidRPr="00345F85">
        <w:rPr>
          <w:rFonts w:ascii="Arial" w:hAnsi="Arial" w:cs="Arial"/>
          <w:sz w:val="22"/>
          <w:szCs w:val="22"/>
        </w:rPr>
        <w:t>Where a person intentionally or recklessly uses unlawful force, or causes another person to fear immediate unlawful violence, this may amount to an offence (for example, assault) and we would normally expect the police to be contacted without delay where there is an immediate risk, a crime in progress, or a serious incident.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631BF302" w14:textId="77777777" w:rsidR="00345F85" w:rsidRDefault="00345F85">
      <w:pPr>
        <w:pStyle w:val="BodyTextIndent"/>
        <w:spacing w:before="120" w:line="360" w:lineRule="auto"/>
        <w:ind w:left="0"/>
        <w:rPr>
          <w:kern w:val="2"/>
          <w:lang w:eastAsia="en-GB"/>
          <w14:ligatures w14:val="standardContextual"/>
        </w:rPr>
      </w:pPr>
      <w:r>
        <w:rPr>
          <w:rFonts w:ascii="Arial" w:hAnsi="Arial" w:cs="Arial"/>
          <w:sz w:val="22"/>
          <w:szCs w:val="22"/>
        </w:rPr>
        <w:t>Any abuse, threats, intimidation or harassment that is related to a protected characteristic (as defined by the Equality Act 2010), or that creates an intimidating, hostile, degrading, humiliating or offensive environment, is particularly serious and may be unlawful. The setting will consider whether any incident may involve discrimination, harassment or victimisation, and will take appropriate steps to protect staff and volunteers and to prevent recurrence. In some circumstances discriminatory abuse may also amount to a hate incident or hate crime and may be reported to the police.</w:t>
      </w:r>
    </w:p>
    <w:p w14:paraId="580B4A9E" w14:textId="77777777" w:rsidR="00345F85" w:rsidRDefault="00345F85">
      <w:pPr>
        <w:pStyle w:val="BodyTextIndent"/>
        <w:spacing w:before="120" w:line="360" w:lineRule="auto"/>
        <w:ind w:left="0"/>
        <w:rPr>
          <w:kern w:val="2"/>
          <w:lang w:eastAsia="en-GB"/>
          <w14:ligatures w14:val="standardContextual"/>
        </w:rPr>
      </w:pPr>
      <w:r>
        <w:rPr>
          <w:rFonts w:ascii="Arial" w:hAnsi="Arial" w:cs="Arial"/>
          <w:sz w:val="22"/>
          <w:szCs w:val="22"/>
        </w:rPr>
        <w:t>It is important to note that physical contact or injury does not need to have occurred for an assault to have taken place. In some circumstances it is sufficient for a person to have been threatened with immediate violence and put in fear of a physical attack.</w:t>
      </w:r>
    </w:p>
    <w:p w14:paraId="0614EDF8" w14:textId="77777777" w:rsidR="00345F85" w:rsidRDefault="00345F85">
      <w:pPr>
        <w:pStyle w:val="BodyTextIndent"/>
        <w:spacing w:before="120" w:line="360" w:lineRule="auto"/>
        <w:ind w:left="0"/>
        <w:rPr>
          <w:kern w:val="2"/>
          <w:lang w:eastAsia="en-GB"/>
          <w14:ligatures w14:val="standardContextual"/>
        </w:rPr>
      </w:pPr>
      <w:r>
        <w:rPr>
          <w:rFonts w:ascii="Arial" w:hAnsi="Arial" w:cs="Arial"/>
          <w:sz w:val="22"/>
          <w:szCs w:val="22"/>
        </w:rPr>
        <w:lastRenderedPageBreak/>
        <w:t>Any staff member or volunteer who feels under threat, or who has been threatened, assaulted, harassed or intimidated in the course of their work must prioritise immediate safety and report the matter as soon as possible to their manager (or, if appropriate, the setting manager/designated lead). The manager will follow the setting’s procedures for responding, including any safeguarding actions needed to keep children safe, and will ensure the incident is recorded and reviewed.</w:t>
      </w:r>
    </w:p>
    <w:p w14:paraId="3C34131B" w14:textId="77777777" w:rsidR="00345F85" w:rsidRDefault="00345F85">
      <w:pPr>
        <w:spacing w:before="120" w:after="120" w:line="360" w:lineRule="auto"/>
        <w:rPr>
          <w:kern w:val="2"/>
          <w:lang w:eastAsia="en-GB"/>
          <w14:ligatures w14:val="standardContextual"/>
        </w:rPr>
      </w:pPr>
      <w:r>
        <w:rPr>
          <w:rFonts w:ascii="Arial" w:hAnsi="Arial" w:cs="Arial"/>
          <w:sz w:val="22"/>
          <w:szCs w:val="22"/>
        </w:rPr>
        <w:t xml:space="preserve">999 should be used where there is an emergency and the immediate attendance of the police or ambulance is required. Staff should call 999 </w:t>
      </w:r>
      <w:proofErr w:type="gramStart"/>
      <w:r>
        <w:rPr>
          <w:rFonts w:ascii="Arial" w:hAnsi="Arial" w:cs="Arial"/>
          <w:sz w:val="22"/>
          <w:szCs w:val="22"/>
        </w:rPr>
        <w:t>in particular where</w:t>
      </w:r>
      <w:proofErr w:type="gramEnd"/>
      <w:r>
        <w:rPr>
          <w:rFonts w:ascii="Arial" w:hAnsi="Arial" w:cs="Arial"/>
          <w:sz w:val="22"/>
          <w:szCs w:val="22"/>
        </w:rPr>
        <w:t>:</w:t>
      </w:r>
    </w:p>
    <w:p w14:paraId="423F4F52" w14:textId="77777777" w:rsidR="00345F85" w:rsidRPr="00345F85" w:rsidRDefault="00345F85" w:rsidP="00E8794E">
      <w:pPr>
        <w:pStyle w:val="ListParagraph"/>
        <w:numPr>
          <w:ilvl w:val="0"/>
          <w:numId w:val="42"/>
        </w:numPr>
        <w:spacing w:line="360" w:lineRule="auto"/>
        <w:rPr>
          <w:kern w:val="2"/>
          <w14:ligatures w14:val="standardContextual"/>
        </w:rPr>
      </w:pPr>
      <w:r w:rsidRPr="00345F85">
        <w:rPr>
          <w:rFonts w:ascii="Arial" w:hAnsi="Arial" w:cs="Arial"/>
          <w:sz w:val="22"/>
          <w:szCs w:val="22"/>
        </w:rPr>
        <w:t>there is danger to life or a serious risk of harm</w:t>
      </w:r>
    </w:p>
    <w:p w14:paraId="10E26F7E" w14:textId="77777777" w:rsidR="00345F85" w:rsidRPr="00345F85" w:rsidRDefault="00345F85" w:rsidP="00E8794E">
      <w:pPr>
        <w:pStyle w:val="ListParagraph"/>
        <w:numPr>
          <w:ilvl w:val="0"/>
          <w:numId w:val="42"/>
        </w:numPr>
        <w:spacing w:line="360" w:lineRule="auto"/>
        <w:rPr>
          <w:kern w:val="2"/>
          <w14:ligatures w14:val="standardContextual"/>
        </w:rPr>
      </w:pPr>
      <w:r w:rsidRPr="00345F85">
        <w:rPr>
          <w:rFonts w:ascii="Arial" w:hAnsi="Arial" w:cs="Arial"/>
          <w:sz w:val="22"/>
          <w:szCs w:val="22"/>
        </w:rPr>
        <w:t>there is a likelihood of violence or escalation</w:t>
      </w:r>
    </w:p>
    <w:p w14:paraId="01A351EE" w14:textId="77777777" w:rsidR="00345F85" w:rsidRPr="00345F85" w:rsidRDefault="00345F85" w:rsidP="00E8794E">
      <w:pPr>
        <w:pStyle w:val="ListParagraph"/>
        <w:numPr>
          <w:ilvl w:val="0"/>
          <w:numId w:val="42"/>
        </w:numPr>
        <w:spacing w:line="360" w:lineRule="auto"/>
        <w:rPr>
          <w:kern w:val="2"/>
          <w14:ligatures w14:val="standardContextual"/>
        </w:rPr>
      </w:pPr>
      <w:r w:rsidRPr="00345F85">
        <w:rPr>
          <w:rFonts w:ascii="Arial" w:hAnsi="Arial" w:cs="Arial"/>
          <w:sz w:val="22"/>
          <w:szCs w:val="22"/>
        </w:rPr>
        <w:t>an assault is, or is believed to be, in progress</w:t>
      </w:r>
    </w:p>
    <w:p w14:paraId="6CC6B6C7" w14:textId="77777777" w:rsidR="00345F85" w:rsidRPr="00345F85" w:rsidRDefault="00345F85" w:rsidP="00E8794E">
      <w:pPr>
        <w:pStyle w:val="ListParagraph"/>
        <w:numPr>
          <w:ilvl w:val="0"/>
          <w:numId w:val="42"/>
        </w:numPr>
        <w:spacing w:line="360" w:lineRule="auto"/>
        <w:rPr>
          <w:kern w:val="2"/>
          <w14:ligatures w14:val="standardContextual"/>
        </w:rPr>
      </w:pPr>
      <w:r w:rsidRPr="00345F85">
        <w:rPr>
          <w:rFonts w:ascii="Arial" w:hAnsi="Arial" w:cs="Arial"/>
          <w:sz w:val="22"/>
          <w:szCs w:val="22"/>
        </w:rPr>
        <w:t>the person causing concern is on the premises and cannot be managed safely</w:t>
      </w:r>
    </w:p>
    <w:p w14:paraId="10654755" w14:textId="77777777" w:rsidR="00345F85" w:rsidRPr="00345F85" w:rsidRDefault="00345F85" w:rsidP="00E8794E">
      <w:pPr>
        <w:pStyle w:val="ListParagraph"/>
        <w:numPr>
          <w:ilvl w:val="0"/>
          <w:numId w:val="42"/>
        </w:numPr>
        <w:spacing w:line="360" w:lineRule="auto"/>
        <w:rPr>
          <w:kern w:val="2"/>
          <w14:ligatures w14:val="standardContextual"/>
        </w:rPr>
      </w:pPr>
      <w:r w:rsidRPr="00345F85">
        <w:rPr>
          <w:rFonts w:ascii="Arial" w:hAnsi="Arial" w:cs="Arial"/>
          <w:sz w:val="22"/>
          <w:szCs w:val="22"/>
        </w:rPr>
        <w:t>the incident has just occurred and there is an immediate opportunity for police to attend</w:t>
      </w:r>
    </w:p>
    <w:p w14:paraId="4118168C" w14:textId="77777777" w:rsidR="00345F85" w:rsidRDefault="00345F85">
      <w:pPr>
        <w:spacing w:before="120" w:after="120" w:line="360" w:lineRule="auto"/>
        <w:rPr>
          <w:kern w:val="2"/>
          <w:lang w:eastAsia="en-GB"/>
          <w14:ligatures w14:val="standardContextual"/>
        </w:rPr>
      </w:pPr>
      <w:r>
        <w:rPr>
          <w:rFonts w:ascii="Arial" w:hAnsi="Arial" w:cs="Arial"/>
          <w:sz w:val="22"/>
          <w:szCs w:val="22"/>
        </w:rPr>
        <w:t>If it is not possible to speak safely when making a 999 call, remain on the line and follow the operator’s prompts. On mobile phones, the police ‘Silent Solution’ may allow you to dial 55 when prompted to confirm you need help but cannot speak. Where available, the police may be able to trace the call and attend.</w:t>
      </w:r>
    </w:p>
    <w:p w14:paraId="30BAF7EA" w14:textId="40C5383F" w:rsidR="00301087" w:rsidRPr="00301087" w:rsidRDefault="00301087" w:rsidP="00E030DF">
      <w:pPr>
        <w:spacing w:before="120" w:after="120" w:line="360" w:lineRule="auto"/>
        <w:ind w:left="567" w:hanging="567"/>
        <w:rPr>
          <w:rFonts w:ascii="Arial" w:hAnsi="Arial" w:cs="Arial"/>
          <w:b/>
        </w:rPr>
      </w:pPr>
      <w:r w:rsidRPr="00301087">
        <w:rPr>
          <w:rFonts w:ascii="Arial" w:hAnsi="Arial" w:cs="Arial"/>
          <w:b/>
        </w:rPr>
        <w:t xml:space="preserve">Harassment and </w:t>
      </w:r>
      <w:r w:rsidR="00314558">
        <w:rPr>
          <w:rFonts w:ascii="Arial" w:hAnsi="Arial" w:cs="Arial"/>
          <w:b/>
        </w:rPr>
        <w:t>i</w:t>
      </w:r>
      <w:r w:rsidRPr="00301087">
        <w:rPr>
          <w:rFonts w:ascii="Arial" w:hAnsi="Arial" w:cs="Arial"/>
          <w:b/>
        </w:rPr>
        <w:t>ntimidation</w:t>
      </w:r>
    </w:p>
    <w:p w14:paraId="3231A634" w14:textId="77777777" w:rsidR="00345F85" w:rsidRDefault="00345F85">
      <w:pPr>
        <w:pStyle w:val="BodyTextIndent2"/>
        <w:spacing w:before="120" w:line="360" w:lineRule="auto"/>
        <w:ind w:left="0"/>
        <w:rPr>
          <w:kern w:val="2"/>
          <w:lang w:eastAsia="en-GB"/>
          <w14:ligatures w14:val="standardContextual"/>
        </w:rPr>
      </w:pPr>
      <w:r>
        <w:rPr>
          <w:rFonts w:ascii="Arial" w:hAnsi="Arial" w:cs="Arial"/>
          <w:sz w:val="22"/>
          <w:szCs w:val="22"/>
        </w:rPr>
        <w:t>Staff may experience persistent unreasonable behaviour from individual parents or service users. This behaviour may not be overtly abusive but can still be perceived as intimidating, oppressive or harassing, particularly where it is frequent, targeted or involves repeated criticism, demands or contact (for example by email, telephone or online). Even where individual incidents appear minor in isolation, their cumulative effect can undermine confidence, well-being and health. The setting will take such concerns seriously, will consider any Equality Act implications (including harassment related to a protected characteristic), and will take steps to address behaviour early and fairly. In rare cases, the behaviour may constitute an offence under the Protection from Harassment Act 1997.</w:t>
      </w:r>
    </w:p>
    <w:p w14:paraId="3E292D39" w14:textId="3DC54EC1"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sidR="00CD39FF">
        <w:rPr>
          <w:rStyle w:val="legds2"/>
          <w:rFonts w:ascii="Arial" w:hAnsi="Arial" w:cs="Arial"/>
          <w:i/>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6D2B374" w14:textId="77777777" w:rsidR="00345F85" w:rsidRDefault="00345F85">
      <w:pPr>
        <w:pStyle w:val="BodyTextIndent2"/>
        <w:spacing w:before="120" w:line="360" w:lineRule="auto"/>
        <w:ind w:left="0"/>
        <w:rPr>
          <w:kern w:val="2"/>
          <w:lang w:eastAsia="en-GB"/>
          <w14:ligatures w14:val="standardContextual"/>
        </w:rPr>
      </w:pPr>
      <w:r>
        <w:rPr>
          <w:rFonts w:ascii="Arial" w:hAnsi="Arial" w:cs="Arial"/>
          <w:sz w:val="22"/>
          <w:szCs w:val="22"/>
        </w:rPr>
        <w:t>Where the police have powers to act, the setting will support staff and volunteers to report the matter. If the actions of a parent or service user appear to be escalating, staff should speak to their manager, who will take appropriate action. This may include agreeing boundaries for contact, arranging a meeting with the setting manager (with another staff member present), and/or the setting manager sending a written warning that the behaviour is unacceptable and may result in further action, including restrictions on access to the premises. All incidents must be recorded and reported in line with the setting’s procedures.</w:t>
      </w:r>
    </w:p>
    <w:p w14:paraId="08E3F861" w14:textId="77777777"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3B4F6B73" w14:textId="77777777" w:rsidR="00345F85" w:rsidRPr="00345F85" w:rsidRDefault="00345F85" w:rsidP="00E8794E">
      <w:pPr>
        <w:pStyle w:val="ListParagraph"/>
        <w:numPr>
          <w:ilvl w:val="0"/>
          <w:numId w:val="33"/>
        </w:numPr>
        <w:spacing w:line="360" w:lineRule="auto"/>
        <w:rPr>
          <w:kern w:val="2"/>
          <w14:ligatures w14:val="standardContextual"/>
        </w:rPr>
      </w:pPr>
      <w:r w:rsidRPr="00345F85">
        <w:rPr>
          <w:rFonts w:ascii="Arial" w:hAnsi="Arial" w:cs="Arial"/>
          <w:sz w:val="22"/>
          <w:szCs w:val="22"/>
        </w:rPr>
        <w:lastRenderedPageBreak/>
        <w:t>Parents and some other visitors normally have implied permission to be on the premises at certain times and for certain purposes. This implied permission may be restricted or withdrawn where necessary to protect children, staff, volunteers and other service users.</w:t>
      </w:r>
    </w:p>
    <w:p w14:paraId="065CD18C" w14:textId="77777777" w:rsidR="00345F85" w:rsidRPr="00345F85" w:rsidRDefault="00345F85" w:rsidP="00E8794E">
      <w:pPr>
        <w:pStyle w:val="ListParagraph"/>
        <w:numPr>
          <w:ilvl w:val="0"/>
          <w:numId w:val="33"/>
        </w:numPr>
        <w:spacing w:line="360" w:lineRule="auto"/>
        <w:rPr>
          <w:kern w:val="2"/>
          <w14:ligatures w14:val="standardContextual"/>
        </w:rPr>
      </w:pPr>
      <w:r w:rsidRPr="00345F85">
        <w:rPr>
          <w:rFonts w:ascii="Arial" w:hAnsi="Arial" w:cs="Arial"/>
          <w:sz w:val="22"/>
          <w:szCs w:val="22"/>
        </w:rPr>
        <w:t>If a parent or other person continues to behave unreasonably, the setting may issue a written notice from the owners/directors/trustees withdrawing (or limiting) permission for them to be on the premises. Any restrictions will be proportionate, risk-assessed, kept under review, and will take account of Equality Act duties (including reasonable adjustments), safeguarding and welfare requirements, and any need to maintain safe arrangements for information-sharing and child handover/collection.</w:t>
      </w:r>
    </w:p>
    <w:p w14:paraId="07F14E1A" w14:textId="77777777" w:rsidR="00345F85" w:rsidRPr="00345F85" w:rsidRDefault="00345F85" w:rsidP="00E8794E">
      <w:pPr>
        <w:pStyle w:val="ListParagraph"/>
        <w:numPr>
          <w:ilvl w:val="0"/>
          <w:numId w:val="33"/>
        </w:numPr>
        <w:spacing w:line="360" w:lineRule="auto"/>
        <w:rPr>
          <w:kern w:val="2"/>
          <w14:ligatures w14:val="standardContextual"/>
        </w:rPr>
      </w:pPr>
      <w:r w:rsidRPr="00345F85">
        <w:rPr>
          <w:rFonts w:ascii="Arial" w:hAnsi="Arial" w:cs="Arial"/>
          <w:sz w:val="22"/>
          <w:szCs w:val="22"/>
        </w:rPr>
        <w:t xml:space="preserve">If a person breaches the restrictions, they may be treated as a </w:t>
      </w:r>
      <w:proofErr w:type="gramStart"/>
      <w:r w:rsidRPr="00345F85">
        <w:rPr>
          <w:rFonts w:ascii="Arial" w:hAnsi="Arial" w:cs="Arial"/>
          <w:sz w:val="22"/>
          <w:szCs w:val="22"/>
        </w:rPr>
        <w:t>trespasser</w:t>
      </w:r>
      <w:proofErr w:type="gramEnd"/>
      <w:r w:rsidRPr="00345F85">
        <w:rPr>
          <w:rFonts w:ascii="Arial" w:hAnsi="Arial" w:cs="Arial"/>
          <w:sz w:val="22"/>
          <w:szCs w:val="22"/>
        </w:rPr>
        <w:t xml:space="preserve"> and the setting may ask them to leave and/or seek police assistance where appropriate.</w:t>
      </w:r>
    </w:p>
    <w:p w14:paraId="6CA93EB4" w14:textId="77777777" w:rsidR="00345F85" w:rsidRPr="00345F85" w:rsidRDefault="00345F85" w:rsidP="00E8794E">
      <w:pPr>
        <w:pStyle w:val="ListParagraph"/>
        <w:numPr>
          <w:ilvl w:val="0"/>
          <w:numId w:val="33"/>
        </w:numPr>
        <w:spacing w:line="360" w:lineRule="auto"/>
        <w:rPr>
          <w:kern w:val="2"/>
          <w14:ligatures w14:val="standardContextual"/>
        </w:rPr>
      </w:pPr>
      <w:r w:rsidRPr="00345F85">
        <w:rPr>
          <w:rFonts w:ascii="Arial" w:hAnsi="Arial" w:cs="Arial"/>
          <w:sz w:val="22"/>
          <w:szCs w:val="22"/>
        </w:rPr>
        <w:t>Full records are kept of each incident in the Reportable Incident Record, including relevant facts, actions taken and details of any witnesses. Records are handled confidentially and shared only on a need-to-know basis.</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31DD74BE" w14:textId="77777777" w:rsidR="00345F85" w:rsidRPr="00345F85" w:rsidRDefault="00345F85" w:rsidP="00E8794E">
      <w:pPr>
        <w:pStyle w:val="ListParagraph"/>
        <w:numPr>
          <w:ilvl w:val="0"/>
          <w:numId w:val="34"/>
        </w:numPr>
        <w:spacing w:line="360" w:lineRule="auto"/>
        <w:rPr>
          <w:kern w:val="2"/>
          <w14:ligatures w14:val="standardContextual"/>
        </w:rPr>
      </w:pPr>
      <w:r w:rsidRPr="00345F85">
        <w:rPr>
          <w:rFonts w:ascii="Arial" w:hAnsi="Arial" w:cs="Arial"/>
          <w:sz w:val="22"/>
          <w:szCs w:val="22"/>
        </w:rPr>
        <w:t>We would normally expect all cases of assault, credible threats of violence, and all but the most minor of other incidents to be treated as serious matters. They should be reported to the setting manager and, where appropriate, to the police, and followed up with due care and attention.</w:t>
      </w:r>
    </w:p>
    <w:p w14:paraId="0D2BBFC5" w14:textId="77777777" w:rsidR="00345F85" w:rsidRDefault="00345F85" w:rsidP="00E8794E">
      <w:pPr>
        <w:pStyle w:val="ListParagraph"/>
        <w:numPr>
          <w:ilvl w:val="0"/>
          <w:numId w:val="34"/>
        </w:numPr>
        <w:spacing w:line="360" w:lineRule="auto"/>
        <w:rPr>
          <w:kern w:val="2"/>
          <w14:ligatures w14:val="standardContextual"/>
        </w:rPr>
      </w:pPr>
      <w:r>
        <w:rPr>
          <w:rFonts w:ascii="Arial" w:hAnsi="Arial" w:cs="Arial"/>
          <w:sz w:val="22"/>
          <w:szCs w:val="22"/>
        </w:rPr>
        <w:t xml:space="preserve">A record of the incident must be made </w:t>
      </w:r>
      <w:proofErr w:type="gramStart"/>
      <w:r>
        <w:rPr>
          <w:rFonts w:ascii="Arial" w:hAnsi="Arial" w:cs="Arial"/>
          <w:sz w:val="22"/>
          <w:szCs w:val="22"/>
        </w:rPr>
        <w:t>whether or not</w:t>
      </w:r>
      <w:proofErr w:type="gramEnd"/>
      <w:r>
        <w:rPr>
          <w:rFonts w:ascii="Arial" w:hAnsi="Arial" w:cs="Arial"/>
          <w:sz w:val="22"/>
          <w:szCs w:val="22"/>
        </w:rPr>
        <w:t xml:space="preserve"> the police are involved, including any immediate actions taken to keep children and adults safe. Where an incident results in a reportable injury or other reportable event, the setting will consider any duties to report under relevant health and safety reporting requirements.</w:t>
      </w:r>
    </w:p>
    <w:p w14:paraId="46599FB5" w14:textId="77777777" w:rsidR="00345F85" w:rsidRPr="00345F85" w:rsidRDefault="00345F85" w:rsidP="00E8794E">
      <w:pPr>
        <w:pStyle w:val="ListParagraph"/>
        <w:numPr>
          <w:ilvl w:val="0"/>
          <w:numId w:val="34"/>
        </w:numPr>
        <w:spacing w:line="360" w:lineRule="auto"/>
        <w:rPr>
          <w:kern w:val="2"/>
          <w14:ligatures w14:val="standardContextual"/>
        </w:rPr>
      </w:pPr>
      <w:r w:rsidRPr="00345F85">
        <w:rPr>
          <w:rFonts w:ascii="Arial" w:hAnsi="Arial" w:cs="Arial"/>
          <w:sz w:val="22"/>
          <w:szCs w:val="22"/>
        </w:rPr>
        <w:t>Whilst acknowledging that parents and families may themselves be under stress, it is never acceptable to behave aggressively, abusively or in a discriminatory manner towards staff or volunteers. Individual circumstances and the nature and level of risk will be considered before deciding what further action is appropriate.</w:t>
      </w:r>
    </w:p>
    <w:p w14:paraId="2ABB2558" w14:textId="77777777" w:rsidR="00345F85" w:rsidRDefault="00345F85" w:rsidP="00E8794E">
      <w:pPr>
        <w:pStyle w:val="BodyText"/>
        <w:numPr>
          <w:ilvl w:val="0"/>
          <w:numId w:val="34"/>
        </w:numPr>
        <w:spacing w:line="360" w:lineRule="auto"/>
        <w:rPr>
          <w:kern w:val="2"/>
          <w14:ligatures w14:val="standardContextual"/>
        </w:rPr>
      </w:pPr>
      <w:r>
        <w:rPr>
          <w:rFonts w:ascii="Arial" w:hAnsi="Arial" w:cs="Arial"/>
          <w:sz w:val="22"/>
          <w:szCs w:val="22"/>
        </w:rPr>
        <w:t>All parties should consider the needs, views, feelings and wishes of the person affected at every stage. We will ensure sympathetic and practical support is available both at the time of the incident and subsequently, including considering any reasonable adjustments or temporary changes to duties where appropriate.</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r w:rsidR="00673AA8">
        <w:rPr>
          <w:rFonts w:ascii="Arial" w:hAnsi="Arial" w:cs="Arial"/>
          <w:sz w:val="22"/>
          <w:szCs w:val="22"/>
        </w:rPr>
        <w:t xml:space="preserve">owners/directors/trustees </w:t>
      </w:r>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77B660DC" w14:textId="77777777" w:rsidR="00345F85" w:rsidRPr="00345F85" w:rsidRDefault="00345F85" w:rsidP="00A337E3">
      <w:pPr>
        <w:pStyle w:val="ListParagraph"/>
        <w:numPr>
          <w:ilvl w:val="0"/>
          <w:numId w:val="36"/>
        </w:numPr>
        <w:spacing w:line="360" w:lineRule="auto"/>
        <w:rPr>
          <w:rFonts w:ascii="Arial" w:hAnsi="Arial" w:cs="Arial"/>
          <w:sz w:val="22"/>
          <w:szCs w:val="22"/>
        </w:rPr>
      </w:pPr>
      <w:r w:rsidRPr="00345F85">
        <w:rPr>
          <w:rFonts w:ascii="Arial" w:hAnsi="Arial" w:cs="Arial"/>
          <w:sz w:val="22"/>
          <w:szCs w:val="22"/>
        </w:rPr>
        <w:t>In non-urgent cases, the police may respond within different timescales depending on risk and local resources. Staff should follow local police advice and keep the setting manager informed.</w:t>
      </w:r>
    </w:p>
    <w:p w14:paraId="4ED65C6E" w14:textId="77777777" w:rsidR="00345F85" w:rsidRPr="00345F85" w:rsidRDefault="00345F85" w:rsidP="00A337E3">
      <w:pPr>
        <w:pStyle w:val="ListParagraph"/>
        <w:numPr>
          <w:ilvl w:val="0"/>
          <w:numId w:val="36"/>
        </w:numPr>
        <w:spacing w:line="360" w:lineRule="auto"/>
        <w:rPr>
          <w:rFonts w:ascii="Arial" w:hAnsi="Arial" w:cs="Arial"/>
          <w:sz w:val="22"/>
          <w:szCs w:val="22"/>
        </w:rPr>
      </w:pPr>
      <w:r w:rsidRPr="00345F85">
        <w:rPr>
          <w:rFonts w:ascii="Arial" w:hAnsi="Arial" w:cs="Arial"/>
          <w:sz w:val="22"/>
          <w:szCs w:val="22"/>
        </w:rPr>
        <w:lastRenderedPageBreak/>
        <w:t>When they attend, the police may take statements from the person affected and any witnesses, and may request other evidence, to investigate the incident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69EC27B7"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w:t>
      </w:r>
      <w:r w:rsidR="0012339E">
        <w:rPr>
          <w:rFonts w:ascii="Arial" w:hAnsi="Arial" w:cs="Arial"/>
          <w:sz w:val="22"/>
          <w:szCs w:val="22"/>
        </w:rPr>
        <w:t xml:space="preserve">some </w:t>
      </w:r>
      <w:proofErr w:type="gramStart"/>
      <w:r w:rsidRPr="000A2086">
        <w:rPr>
          <w:rFonts w:ascii="Arial" w:hAnsi="Arial" w:cs="Arial"/>
          <w:sz w:val="22"/>
          <w:szCs w:val="22"/>
        </w:rPr>
        <w:t>cases</w:t>
      </w:r>
      <w:proofErr w:type="gramEnd"/>
      <w:r w:rsidRPr="000A2086">
        <w:rPr>
          <w:rFonts w:ascii="Arial" w:hAnsi="Arial" w:cs="Arial"/>
          <w:sz w:val="22"/>
          <w:szCs w:val="22"/>
        </w:rPr>
        <w:t xml:space="preserve"> the victim may be asked by the </w:t>
      </w:r>
      <w:r w:rsidR="003A5108">
        <w:rPr>
          <w:rFonts w:ascii="Arial" w:hAnsi="Arial" w:cs="Arial"/>
          <w:sz w:val="22"/>
          <w:szCs w:val="22"/>
        </w:rPr>
        <w:t>p</w:t>
      </w:r>
      <w:r w:rsidRPr="000A2086">
        <w:rPr>
          <w:rFonts w:ascii="Arial" w:hAnsi="Arial" w:cs="Arial"/>
          <w:sz w:val="22"/>
          <w:szCs w:val="22"/>
        </w:rPr>
        <w:t>olice if he</w:t>
      </w:r>
      <w:r w:rsidR="0012339E">
        <w:rPr>
          <w:rFonts w:ascii="Arial" w:hAnsi="Arial" w:cs="Arial"/>
          <w:sz w:val="22"/>
          <w:szCs w:val="22"/>
        </w:rPr>
        <w:t>/</w:t>
      </w:r>
      <w:r w:rsidRPr="000A2086">
        <w:rPr>
          <w:rFonts w:ascii="Arial" w:hAnsi="Arial" w:cs="Arial"/>
          <w:sz w:val="22"/>
          <w:szCs w:val="22"/>
        </w:rPr>
        <w:t xml:space="preserve">she wishes to make a complaint or allegation against the alleged offender. It is important to ensure that the victim </w:t>
      </w:r>
      <w:r w:rsidR="009E1B45" w:rsidRPr="000A2086">
        <w:rPr>
          <w:rFonts w:ascii="Arial" w:hAnsi="Arial" w:cs="Arial"/>
          <w:sz w:val="22"/>
          <w:szCs w:val="22"/>
        </w:rPr>
        <w:t>can</w:t>
      </w:r>
      <w:r w:rsidRPr="000A2086">
        <w:rPr>
          <w:rFonts w:ascii="Arial" w:hAnsi="Arial" w:cs="Arial"/>
          <w:sz w:val="22"/>
          <w:szCs w:val="22"/>
        </w:rPr>
        <w:t xml:space="preserve"> discuss the matter with the</w:t>
      </w:r>
      <w:r w:rsidR="003A5108">
        <w:rPr>
          <w:rFonts w:ascii="Arial" w:hAnsi="Arial" w:cs="Arial"/>
          <w:sz w:val="22"/>
          <w:szCs w:val="22"/>
        </w:rPr>
        <w:t>ir</w:t>
      </w:r>
      <w:r w:rsidR="0012339E">
        <w:rPr>
          <w:rFonts w:ascii="Arial" w:hAnsi="Arial" w:cs="Arial"/>
          <w:sz w:val="22"/>
          <w:szCs w:val="22"/>
        </w:rPr>
        <w:t xml:space="preserve"> </w:t>
      </w:r>
      <w:r w:rsidRPr="000A2086">
        <w:rPr>
          <w:rFonts w:ascii="Arial" w:hAnsi="Arial" w:cs="Arial"/>
          <w:sz w:val="22"/>
          <w:szCs w:val="22"/>
        </w:rPr>
        <w:t>line manager, a colleague</w:t>
      </w:r>
      <w:r w:rsidR="003A5108">
        <w:rPr>
          <w:rFonts w:ascii="Arial" w:hAnsi="Arial" w:cs="Arial"/>
          <w:sz w:val="22"/>
          <w:szCs w:val="22"/>
        </w:rPr>
        <w:t xml:space="preserve"> or</w:t>
      </w:r>
      <w:r w:rsidRPr="000A2086">
        <w:rPr>
          <w:rFonts w:ascii="Arial" w:hAnsi="Arial" w:cs="Arial"/>
          <w:sz w:val="22"/>
          <w:szCs w:val="22"/>
        </w:rPr>
        <w:t xml:space="preserve"> </w:t>
      </w:r>
      <w:r w:rsidR="009E1B45" w:rsidRPr="000A2086">
        <w:rPr>
          <w:rFonts w:ascii="Arial" w:hAnsi="Arial" w:cs="Arial"/>
          <w:sz w:val="22"/>
          <w:szCs w:val="22"/>
        </w:rPr>
        <w:t>friend</w:t>
      </w:r>
      <w:r w:rsidRPr="000A2086">
        <w:rPr>
          <w:rFonts w:ascii="Arial" w:hAnsi="Arial" w:cs="Arial"/>
          <w:sz w:val="22"/>
          <w:szCs w:val="22"/>
        </w:rPr>
        <w:t xml:space="preserve"> before deciding on their response. It </w:t>
      </w:r>
      <w:r w:rsidR="0012339E">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26B99423" w14:textId="77777777" w:rsidR="00345F85" w:rsidRPr="00345F85" w:rsidRDefault="00345F85" w:rsidP="00A337E3">
      <w:pPr>
        <w:pStyle w:val="ListParagraph"/>
        <w:numPr>
          <w:ilvl w:val="0"/>
          <w:numId w:val="36"/>
        </w:numPr>
        <w:spacing w:line="360" w:lineRule="auto"/>
        <w:rPr>
          <w:rFonts w:ascii="Arial" w:hAnsi="Arial" w:cs="Arial"/>
          <w:sz w:val="22"/>
          <w:szCs w:val="22"/>
        </w:rPr>
      </w:pPr>
      <w:r w:rsidRPr="00345F85">
        <w:rPr>
          <w:rFonts w:ascii="Arial" w:hAnsi="Arial" w:cs="Arial"/>
          <w:sz w:val="22"/>
          <w:szCs w:val="22"/>
        </w:rPr>
        <w:t>After the incident has been managed, a review and (where needed) a risk assessment will be completed to identify any preventative measures and control measures that can be put in place to minimise or prevent recurrence.</w:t>
      </w:r>
    </w:p>
    <w:p w14:paraId="153F67CE" w14:textId="654C355A"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parents/visitors</w:t>
      </w:r>
    </w:p>
    <w:p w14:paraId="36A4B81D" w14:textId="77777777" w:rsidR="00345F85" w:rsidRDefault="00345F85" w:rsidP="00345F85">
      <w:pPr>
        <w:pStyle w:val="BodyTextIndent2"/>
        <w:numPr>
          <w:ilvl w:val="0"/>
          <w:numId w:val="37"/>
        </w:numPr>
        <w:rPr>
          <w:kern w:val="2"/>
          <w:lang w:eastAsia="en-GB"/>
          <w14:ligatures w14:val="standardContextual"/>
        </w:rPr>
      </w:pPr>
      <w:r>
        <w:rPr>
          <w:rFonts w:ascii="Arial" w:hAnsi="Arial" w:cs="Arial"/>
          <w:sz w:val="22"/>
          <w:szCs w:val="22"/>
        </w:rPr>
        <w:t>The setting manager should contact their line manager for advice and support, and ensure the incident is recorded and any immediate safeguarding actions are taken.</w:t>
      </w:r>
    </w:p>
    <w:p w14:paraId="6AA1A014" w14:textId="77777777" w:rsidR="00345F85" w:rsidRPr="00345F85" w:rsidRDefault="00345F85" w:rsidP="00345F85">
      <w:pPr>
        <w:pStyle w:val="BodyTextIndent2"/>
        <w:numPr>
          <w:ilvl w:val="0"/>
          <w:numId w:val="37"/>
        </w:numPr>
        <w:rPr>
          <w:kern w:val="2"/>
          <w:lang w:eastAsia="en-GB"/>
          <w14:ligatures w14:val="standardContextual"/>
        </w:rPr>
      </w:pPr>
      <w:r>
        <w:rPr>
          <w:rFonts w:ascii="Arial" w:hAnsi="Arial" w:cs="Arial"/>
          <w:sz w:val="22"/>
          <w:szCs w:val="22"/>
        </w:rPr>
        <w:t>Where the behaviour merits it, the setting manager, with another member of staff present, should inform the parent clearly but sensitively that staff feel unduly harassed, intimidated or threatened, explain the expected standards of behaviour, and set clear boundaries for future contact. Where appropriate, the setting manager may explain that further action may include contacting the police and/or restricting access to the premises. Any follow-up letter should be drafted by the setting manager and approved by their line manager before being issued. The setting will take care to act consistently and without unlawful discrimination.</w:t>
      </w:r>
    </w:p>
    <w:p w14:paraId="5D7A0700" w14:textId="571C4D57" w:rsidR="000A2086" w:rsidRPr="000A2086" w:rsidRDefault="000A2086" w:rsidP="00E030DF">
      <w:pPr>
        <w:numPr>
          <w:ilvl w:val="0"/>
          <w:numId w:val="37"/>
        </w:numPr>
        <w:spacing w:before="120" w:after="120" w:line="360" w:lineRule="auto"/>
        <w:rPr>
          <w:rFonts w:ascii="Arial" w:hAnsi="Arial" w:cs="Arial"/>
          <w:sz w:val="22"/>
          <w:szCs w:val="22"/>
        </w:rPr>
      </w:pPr>
      <w:r w:rsidRPr="285DFCB0">
        <w:rPr>
          <w:rFonts w:ascii="Arial" w:hAnsi="Arial" w:cs="Arial"/>
          <w:sz w:val="22"/>
          <w:szCs w:val="22"/>
        </w:rPr>
        <w:t>The setting manager and/or the</w:t>
      </w:r>
      <w:r w:rsidR="00437305">
        <w:rPr>
          <w:rFonts w:ascii="Arial" w:hAnsi="Arial" w:cs="Arial"/>
          <w:sz w:val="22"/>
          <w:szCs w:val="22"/>
        </w:rPr>
        <w:t>ir</w:t>
      </w:r>
      <w:r w:rsidRPr="285DFCB0">
        <w:rPr>
          <w:rFonts w:ascii="Arial" w:hAnsi="Arial" w:cs="Arial"/>
          <w:sz w:val="22"/>
          <w:szCs w:val="22"/>
        </w:rPr>
        <w:t xml:space="preserve"> line manager might wish to consider advising the parent to make a formal complaint. Information about how to complain is clearly displayed for parents and service users. </w:t>
      </w:r>
    </w:p>
    <w:p w14:paraId="49F04035" w14:textId="77777777" w:rsidR="00345F85" w:rsidRPr="00345F85" w:rsidRDefault="00345F85" w:rsidP="00A337E3">
      <w:pPr>
        <w:pStyle w:val="ListParagraph"/>
        <w:numPr>
          <w:ilvl w:val="0"/>
          <w:numId w:val="37"/>
        </w:numPr>
        <w:spacing w:line="360" w:lineRule="auto"/>
        <w:rPr>
          <w:rFonts w:ascii="Arial" w:hAnsi="Arial" w:cs="Arial"/>
          <w:sz w:val="22"/>
          <w:szCs w:val="22"/>
        </w:rPr>
      </w:pPr>
      <w:r w:rsidRPr="00345F85">
        <w:rPr>
          <w:rFonts w:ascii="Arial" w:hAnsi="Arial" w:cs="Arial"/>
          <w:sz w:val="22"/>
          <w:szCs w:val="22"/>
        </w:rPr>
        <w:t>Where concerns are investigated, the setting will aim to act promptly, fairly and proportionately, taking account of all relevant information. If it is concluded that expectations or demands are unreasonable and are having a detrimental effect on staff, this can support the setting manager in further discussions with the parent and, if necessary, with the police.</w:t>
      </w:r>
    </w:p>
    <w:p w14:paraId="70DF735C" w14:textId="252398DD" w:rsidR="0063128A" w:rsidRPr="007D73FB" w:rsidRDefault="000A2086" w:rsidP="00E030DF">
      <w:pPr>
        <w:pStyle w:val="BodyTextIndent2"/>
        <w:spacing w:before="120" w:line="360" w:lineRule="auto"/>
        <w:ind w:left="0"/>
        <w:rPr>
          <w:rFonts w:ascii="Arial" w:hAnsi="Arial" w:cs="Arial"/>
          <w:sz w:val="28"/>
          <w:szCs w:val="28"/>
        </w:rPr>
      </w:pPr>
      <w:r w:rsidRPr="000A2086">
        <w:rPr>
          <w:rFonts w:ascii="Arial" w:hAnsi="Arial" w:cs="Arial"/>
          <w:sz w:val="22"/>
          <w:szCs w:val="22"/>
        </w:rPr>
        <w:t xml:space="preserve">Complaints relating to potential breaches of the EYFS Safeguarding and Welfare requirements will be managed according to the </w:t>
      </w:r>
      <w:r w:rsidR="00446B3F">
        <w:rPr>
          <w:rFonts w:ascii="Arial" w:hAnsi="Arial" w:cs="Arial"/>
          <w:sz w:val="22"/>
          <w:szCs w:val="22"/>
        </w:rPr>
        <w:t xml:space="preserve">10.2 Complaints procedure for parents and service users. </w:t>
      </w:r>
    </w:p>
    <w:sectPr w:rsidR="0063128A" w:rsidRPr="007D73FB" w:rsidSect="00BC4CA7">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294A" w14:textId="77777777" w:rsidR="009A17AF" w:rsidRDefault="009A17AF">
      <w:r>
        <w:separator/>
      </w:r>
    </w:p>
  </w:endnote>
  <w:endnote w:type="continuationSeparator" w:id="0">
    <w:p w14:paraId="70CB7BF8" w14:textId="77777777" w:rsidR="009A17AF" w:rsidRDefault="009A17AF">
      <w:r>
        <w:continuationSeparator/>
      </w:r>
    </w:p>
  </w:endnote>
  <w:endnote w:type="continuationNotice" w:id="1">
    <w:p w14:paraId="7BD57926" w14:textId="77777777" w:rsidR="009A17AF" w:rsidRDefault="009A1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DBFC" w14:textId="77777777" w:rsidR="009A17AF" w:rsidRDefault="009A17AF">
      <w:r>
        <w:separator/>
      </w:r>
    </w:p>
  </w:footnote>
  <w:footnote w:type="continuationSeparator" w:id="0">
    <w:p w14:paraId="37BC1EFB" w14:textId="77777777" w:rsidR="009A17AF" w:rsidRDefault="009A17AF">
      <w:r>
        <w:continuationSeparator/>
      </w:r>
    </w:p>
  </w:footnote>
  <w:footnote w:type="continuationNotice" w:id="1">
    <w:p w14:paraId="0198B8D6" w14:textId="77777777" w:rsidR="009A17AF" w:rsidRDefault="009A17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BC3"/>
    <w:multiLevelType w:val="multilevel"/>
    <w:tmpl w:val="F00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3"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CA4F10"/>
    <w:multiLevelType w:val="multilevel"/>
    <w:tmpl w:val="AD8C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4BC6DAC"/>
    <w:multiLevelType w:val="multilevel"/>
    <w:tmpl w:val="3CD8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55674F"/>
    <w:multiLevelType w:val="multilevel"/>
    <w:tmpl w:val="403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33D7688"/>
    <w:multiLevelType w:val="multilevel"/>
    <w:tmpl w:val="448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1035291"/>
    <w:multiLevelType w:val="multilevel"/>
    <w:tmpl w:val="8906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4A24C8B"/>
    <w:multiLevelType w:val="multilevel"/>
    <w:tmpl w:val="6598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9BD1DB6"/>
    <w:multiLevelType w:val="multilevel"/>
    <w:tmpl w:val="F9DA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37726A"/>
    <w:multiLevelType w:val="multilevel"/>
    <w:tmpl w:val="3E9C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6664BBF"/>
    <w:multiLevelType w:val="multilevel"/>
    <w:tmpl w:val="6538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9E91045"/>
    <w:multiLevelType w:val="multilevel"/>
    <w:tmpl w:val="A678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1656C0"/>
    <w:multiLevelType w:val="multilevel"/>
    <w:tmpl w:val="932E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60570B"/>
    <w:multiLevelType w:val="multilevel"/>
    <w:tmpl w:val="379E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792E29"/>
    <w:multiLevelType w:val="multilevel"/>
    <w:tmpl w:val="2ADA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1C63D26"/>
    <w:multiLevelType w:val="multilevel"/>
    <w:tmpl w:val="3252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C87856"/>
    <w:multiLevelType w:val="multilevel"/>
    <w:tmpl w:val="8AE0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956613B"/>
    <w:multiLevelType w:val="multilevel"/>
    <w:tmpl w:val="C52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A5C1767"/>
    <w:multiLevelType w:val="multilevel"/>
    <w:tmpl w:val="10C4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945922"/>
    <w:multiLevelType w:val="multilevel"/>
    <w:tmpl w:val="8064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0B032B"/>
    <w:multiLevelType w:val="multilevel"/>
    <w:tmpl w:val="56F0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73401E62"/>
    <w:multiLevelType w:val="multilevel"/>
    <w:tmpl w:val="8E1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B81AB9"/>
    <w:multiLevelType w:val="multilevel"/>
    <w:tmpl w:val="C38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8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6DE782C"/>
    <w:multiLevelType w:val="multilevel"/>
    <w:tmpl w:val="0FE6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83"/>
  </w:num>
  <w:num w:numId="2" w16cid:durableId="947856732">
    <w:abstractNumId w:val="1"/>
  </w:num>
  <w:num w:numId="3" w16cid:durableId="1842619210">
    <w:abstractNumId w:val="33"/>
  </w:num>
  <w:num w:numId="4" w16cid:durableId="389379738">
    <w:abstractNumId w:val="6"/>
  </w:num>
  <w:num w:numId="5" w16cid:durableId="158693692">
    <w:abstractNumId w:val="2"/>
  </w:num>
  <w:num w:numId="6" w16cid:durableId="820389018">
    <w:abstractNumId w:val="28"/>
  </w:num>
  <w:num w:numId="7" w16cid:durableId="1943414464">
    <w:abstractNumId w:val="37"/>
  </w:num>
  <w:num w:numId="8" w16cid:durableId="1231962021">
    <w:abstractNumId w:val="25"/>
  </w:num>
  <w:num w:numId="9" w16cid:durableId="1210410124">
    <w:abstractNumId w:val="81"/>
  </w:num>
  <w:num w:numId="10" w16cid:durableId="1497922166">
    <w:abstractNumId w:val="57"/>
  </w:num>
  <w:num w:numId="11" w16cid:durableId="374040038">
    <w:abstractNumId w:val="54"/>
  </w:num>
  <w:num w:numId="12" w16cid:durableId="2010478352">
    <w:abstractNumId w:val="4"/>
  </w:num>
  <w:num w:numId="13" w16cid:durableId="1060903447">
    <w:abstractNumId w:val="74"/>
  </w:num>
  <w:num w:numId="14" w16cid:durableId="1417095018">
    <w:abstractNumId w:val="88"/>
  </w:num>
  <w:num w:numId="15" w16cid:durableId="1237477727">
    <w:abstractNumId w:val="62"/>
  </w:num>
  <w:num w:numId="16" w16cid:durableId="412703102">
    <w:abstractNumId w:val="91"/>
  </w:num>
  <w:num w:numId="17" w16cid:durableId="581989675">
    <w:abstractNumId w:val="77"/>
  </w:num>
  <w:num w:numId="18" w16cid:durableId="559677830">
    <w:abstractNumId w:val="8"/>
  </w:num>
  <w:num w:numId="19" w16cid:durableId="707268148">
    <w:abstractNumId w:val="38"/>
  </w:num>
  <w:num w:numId="20" w16cid:durableId="1325551107">
    <w:abstractNumId w:val="15"/>
  </w:num>
  <w:num w:numId="21" w16cid:durableId="669871937">
    <w:abstractNumId w:val="29"/>
  </w:num>
  <w:num w:numId="22" w16cid:durableId="108594895">
    <w:abstractNumId w:val="47"/>
  </w:num>
  <w:num w:numId="23" w16cid:durableId="1734503845">
    <w:abstractNumId w:val="69"/>
  </w:num>
  <w:num w:numId="24" w16cid:durableId="568079338">
    <w:abstractNumId w:val="67"/>
  </w:num>
  <w:num w:numId="25" w16cid:durableId="2065791885">
    <w:abstractNumId w:val="53"/>
  </w:num>
  <w:num w:numId="26" w16cid:durableId="1136413559">
    <w:abstractNumId w:val="22"/>
  </w:num>
  <w:num w:numId="27" w16cid:durableId="806240805">
    <w:abstractNumId w:val="75"/>
  </w:num>
  <w:num w:numId="28" w16cid:durableId="1613707712">
    <w:abstractNumId w:val="41"/>
  </w:num>
  <w:num w:numId="29" w16cid:durableId="766653822">
    <w:abstractNumId w:val="55"/>
  </w:num>
  <w:num w:numId="30" w16cid:durableId="296223662">
    <w:abstractNumId w:val="85"/>
  </w:num>
  <w:num w:numId="31" w16cid:durableId="1113403538">
    <w:abstractNumId w:val="3"/>
  </w:num>
  <w:num w:numId="32" w16cid:durableId="1351489349">
    <w:abstractNumId w:val="11"/>
  </w:num>
  <w:num w:numId="33" w16cid:durableId="25058672">
    <w:abstractNumId w:val="43"/>
  </w:num>
  <w:num w:numId="34" w16cid:durableId="1693872654">
    <w:abstractNumId w:val="24"/>
  </w:num>
  <w:num w:numId="35" w16cid:durableId="2145274461">
    <w:abstractNumId w:val="18"/>
  </w:num>
  <w:num w:numId="36" w16cid:durableId="1845394689">
    <w:abstractNumId w:val="14"/>
  </w:num>
  <w:num w:numId="37" w16cid:durableId="196937553">
    <w:abstractNumId w:val="70"/>
  </w:num>
  <w:num w:numId="38" w16cid:durableId="652874536">
    <w:abstractNumId w:val="42"/>
  </w:num>
  <w:num w:numId="39" w16cid:durableId="1122268248">
    <w:abstractNumId w:val="73"/>
  </w:num>
  <w:num w:numId="40" w16cid:durableId="677778808">
    <w:abstractNumId w:val="31"/>
  </w:num>
  <w:num w:numId="41" w16cid:durableId="1596479177">
    <w:abstractNumId w:val="36"/>
  </w:num>
  <w:num w:numId="42" w16cid:durableId="1951429746">
    <w:abstractNumId w:val="27"/>
  </w:num>
  <w:num w:numId="43" w16cid:durableId="952830521">
    <w:abstractNumId w:val="89"/>
  </w:num>
  <w:num w:numId="44" w16cid:durableId="758136133">
    <w:abstractNumId w:val="17"/>
  </w:num>
  <w:num w:numId="45" w16cid:durableId="1946841925">
    <w:abstractNumId w:val="5"/>
  </w:num>
  <w:num w:numId="46" w16cid:durableId="20187300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20"/>
  </w:num>
  <w:num w:numId="49" w16cid:durableId="737094578">
    <w:abstractNumId w:val="21"/>
  </w:num>
  <w:num w:numId="50" w16cid:durableId="180827927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92"/>
  </w:num>
  <w:num w:numId="53" w16cid:durableId="324162568">
    <w:abstractNumId w:val="56"/>
  </w:num>
  <w:num w:numId="54" w16cid:durableId="1431465499">
    <w:abstractNumId w:val="58"/>
  </w:num>
  <w:num w:numId="55" w16cid:durableId="2142382718">
    <w:abstractNumId w:val="84"/>
  </w:num>
  <w:num w:numId="56" w16cid:durableId="1146512870">
    <w:abstractNumId w:val="49"/>
  </w:num>
  <w:num w:numId="57" w16cid:durableId="643317376">
    <w:abstractNumId w:val="7"/>
  </w:num>
  <w:num w:numId="58" w16cid:durableId="588122806">
    <w:abstractNumId w:val="46"/>
  </w:num>
  <w:num w:numId="59" w16cid:durableId="2106997005">
    <w:abstractNumId w:val="19"/>
  </w:num>
  <w:num w:numId="60" w16cid:durableId="1988893788">
    <w:abstractNumId w:val="32"/>
  </w:num>
  <w:num w:numId="61" w16cid:durableId="1215503007">
    <w:abstractNumId w:val="40"/>
  </w:num>
  <w:num w:numId="62" w16cid:durableId="2014254849">
    <w:abstractNumId w:val="13"/>
  </w:num>
  <w:num w:numId="63" w16cid:durableId="198783707">
    <w:abstractNumId w:val="50"/>
  </w:num>
  <w:num w:numId="64" w16cid:durableId="713582447">
    <w:abstractNumId w:val="9"/>
  </w:num>
  <w:num w:numId="65" w16cid:durableId="1318607132">
    <w:abstractNumId w:val="61"/>
  </w:num>
  <w:num w:numId="66" w16cid:durableId="176239125">
    <w:abstractNumId w:val="34"/>
  </w:num>
  <w:num w:numId="67" w16cid:durableId="784740062">
    <w:abstractNumId w:val="10"/>
  </w:num>
  <w:num w:numId="68" w16cid:durableId="74406004">
    <w:abstractNumId w:val="39"/>
  </w:num>
  <w:num w:numId="69" w16cid:durableId="1800302260">
    <w:abstractNumId w:val="82"/>
  </w:num>
  <w:num w:numId="70" w16cid:durableId="1861236102">
    <w:abstractNumId w:val="44"/>
  </w:num>
  <w:num w:numId="71" w16cid:durableId="775947391">
    <w:abstractNumId w:val="12"/>
  </w:num>
  <w:num w:numId="72" w16cid:durableId="207380656">
    <w:abstractNumId w:val="0"/>
  </w:num>
  <w:num w:numId="73" w16cid:durableId="941375081">
    <w:abstractNumId w:val="59"/>
  </w:num>
  <w:num w:numId="74" w16cid:durableId="1845970744">
    <w:abstractNumId w:val="26"/>
  </w:num>
  <w:num w:numId="75" w16cid:durableId="2059039741">
    <w:abstractNumId w:val="63"/>
  </w:num>
  <w:num w:numId="76" w16cid:durableId="1367098592">
    <w:abstractNumId w:val="72"/>
  </w:num>
  <w:num w:numId="77" w16cid:durableId="1860509126">
    <w:abstractNumId w:val="90"/>
  </w:num>
  <w:num w:numId="78" w16cid:durableId="1718355359">
    <w:abstractNumId w:val="66"/>
  </w:num>
  <w:num w:numId="79" w16cid:durableId="1129400649">
    <w:abstractNumId w:val="79"/>
  </w:num>
  <w:num w:numId="80" w16cid:durableId="1382094291">
    <w:abstractNumId w:val="35"/>
  </w:num>
  <w:num w:numId="81" w16cid:durableId="822552857">
    <w:abstractNumId w:val="78"/>
  </w:num>
  <w:num w:numId="82" w16cid:durableId="26948690">
    <w:abstractNumId w:val="48"/>
  </w:num>
  <w:num w:numId="83" w16cid:durableId="1985969419">
    <w:abstractNumId w:val="86"/>
  </w:num>
  <w:num w:numId="84" w16cid:durableId="635380999">
    <w:abstractNumId w:val="80"/>
  </w:num>
  <w:num w:numId="85" w16cid:durableId="143864215">
    <w:abstractNumId w:val="64"/>
  </w:num>
  <w:num w:numId="86" w16cid:durableId="363676685">
    <w:abstractNumId w:val="71"/>
  </w:num>
  <w:num w:numId="87" w16cid:durableId="926160043">
    <w:abstractNumId w:val="87"/>
  </w:num>
  <w:num w:numId="88" w16cid:durableId="1854880066">
    <w:abstractNumId w:val="23"/>
  </w:num>
  <w:num w:numId="89" w16cid:durableId="690759889">
    <w:abstractNumId w:val="16"/>
  </w:num>
  <w:num w:numId="90" w16cid:durableId="603195017">
    <w:abstractNumId w:val="51"/>
  </w:num>
  <w:num w:numId="91" w16cid:durableId="506334915">
    <w:abstractNumId w:val="52"/>
  </w:num>
  <w:num w:numId="92" w16cid:durableId="1071658007">
    <w:abstractNumId w:val="76"/>
  </w:num>
  <w:num w:numId="93" w16cid:durableId="1278176756">
    <w:abstractNumId w:val="65"/>
  </w:num>
  <w:num w:numId="94" w16cid:durableId="190803222">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3DD0"/>
    <w:rsid w:val="00176E6B"/>
    <w:rsid w:val="00182239"/>
    <w:rsid w:val="001848EE"/>
    <w:rsid w:val="001902B1"/>
    <w:rsid w:val="00192378"/>
    <w:rsid w:val="00192A0B"/>
    <w:rsid w:val="00197A48"/>
    <w:rsid w:val="001A2328"/>
    <w:rsid w:val="001A237C"/>
    <w:rsid w:val="001A7AEA"/>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154A"/>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5F85"/>
    <w:rsid w:val="00350A3C"/>
    <w:rsid w:val="00372551"/>
    <w:rsid w:val="00380673"/>
    <w:rsid w:val="00380A4A"/>
    <w:rsid w:val="00387A78"/>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57BDB"/>
    <w:rsid w:val="00563F13"/>
    <w:rsid w:val="00564A64"/>
    <w:rsid w:val="005679AE"/>
    <w:rsid w:val="005721E0"/>
    <w:rsid w:val="00577B62"/>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4A76"/>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B5F76"/>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17AF"/>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7E3"/>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42CC"/>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6866"/>
    <w:rsid w:val="00B371EC"/>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4CA7"/>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8794E"/>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53C40-552A-4436-9607-00A1CDE09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1977</Words>
  <Characters>10007</Characters>
  <Application>Microsoft Office Word</Application>
  <DocSecurity>0</DocSecurity>
  <Lines>145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4</cp:revision>
  <cp:lastPrinted>2018-05-03T11:09:00Z</cp:lastPrinted>
  <dcterms:created xsi:type="dcterms:W3CDTF">2026-04-27T13:42:00Z</dcterms:created>
  <dcterms:modified xsi:type="dcterms:W3CDTF">2026-04-27T13:44:00Z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