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EAD05" w14:textId="32A4B4E0" w:rsidR="0063128A" w:rsidRPr="007D73FB" w:rsidRDefault="009C10C3" w:rsidP="00E030DF">
      <w:pPr>
        <w:spacing w:before="120" w:after="120" w:line="360" w:lineRule="auto"/>
        <w:rPr>
          <w:rFonts w:ascii="Arial" w:hAnsi="Arial" w:cs="Arial"/>
          <w:sz w:val="28"/>
          <w:szCs w:val="28"/>
        </w:rPr>
      </w:pPr>
      <w:r>
        <w:rPr>
          <w:rFonts w:ascii="Arial" w:hAnsi="Arial" w:cs="Arial"/>
          <w:sz w:val="28"/>
          <w:szCs w:val="28"/>
        </w:rPr>
        <w:t>0</w:t>
      </w:r>
      <w:r w:rsidR="0063128A" w:rsidRPr="007D73FB">
        <w:rPr>
          <w:rFonts w:ascii="Arial" w:hAnsi="Arial" w:cs="Arial"/>
          <w:sz w:val="28"/>
          <w:szCs w:val="28"/>
        </w:rPr>
        <w:t>1</w:t>
      </w:r>
      <w:r w:rsidR="0063128A" w:rsidRPr="007D73FB">
        <w:rPr>
          <w:rFonts w:ascii="Arial" w:hAnsi="Arial" w:cs="Arial"/>
          <w:sz w:val="28"/>
          <w:szCs w:val="28"/>
        </w:rPr>
        <w:tab/>
        <w:t>Standard Health and Safety Procedures</w:t>
      </w:r>
    </w:p>
    <w:p w14:paraId="0536FA76" w14:textId="02725ACD" w:rsidR="0063128A" w:rsidRPr="00EC6782" w:rsidRDefault="009C10C3" w:rsidP="00E030DF">
      <w:pPr>
        <w:spacing w:before="120" w:after="120" w:line="360" w:lineRule="auto"/>
        <w:rPr>
          <w:rFonts w:ascii="Arial" w:hAnsi="Arial" w:cs="Arial"/>
          <w:b/>
          <w:sz w:val="28"/>
          <w:szCs w:val="28"/>
        </w:rPr>
      </w:pPr>
      <w:r w:rsidRPr="00EC6782">
        <w:rPr>
          <w:rFonts w:ascii="Arial" w:hAnsi="Arial" w:cs="Arial"/>
          <w:b/>
          <w:sz w:val="28"/>
          <w:szCs w:val="28"/>
        </w:rPr>
        <w:t>0</w:t>
      </w:r>
      <w:r w:rsidR="00A85B33" w:rsidRPr="00EC6782">
        <w:rPr>
          <w:rFonts w:ascii="Arial" w:hAnsi="Arial" w:cs="Arial"/>
          <w:b/>
          <w:sz w:val="28"/>
          <w:szCs w:val="28"/>
        </w:rPr>
        <w:t>1.1</w:t>
      </w:r>
      <w:r w:rsidR="000B24B7" w:rsidRPr="00EC6782">
        <w:rPr>
          <w:rFonts w:ascii="Arial" w:hAnsi="Arial" w:cs="Arial"/>
          <w:b/>
          <w:sz w:val="28"/>
          <w:szCs w:val="28"/>
        </w:rPr>
        <w:t>4</w:t>
      </w:r>
      <w:r w:rsidR="00EC6782">
        <w:rPr>
          <w:rFonts w:ascii="Arial" w:hAnsi="Arial" w:cs="Arial"/>
          <w:b/>
          <w:sz w:val="28"/>
          <w:szCs w:val="28"/>
        </w:rPr>
        <w:tab/>
      </w:r>
      <w:r w:rsidR="00571CE0">
        <w:rPr>
          <w:rFonts w:ascii="Arial" w:hAnsi="Arial" w:cs="Arial"/>
          <w:b/>
          <w:sz w:val="28"/>
          <w:szCs w:val="28"/>
        </w:rPr>
        <w:t xml:space="preserve"> </w:t>
      </w:r>
      <w:r w:rsidR="00930A45" w:rsidRPr="00EC6782">
        <w:rPr>
          <w:rFonts w:ascii="Arial" w:hAnsi="Arial" w:cs="Arial"/>
          <w:b/>
          <w:sz w:val="28"/>
          <w:szCs w:val="28"/>
        </w:rPr>
        <w:t>Control of Substances Hazardous to H</w:t>
      </w:r>
      <w:r w:rsidR="0063128A" w:rsidRPr="00EC6782">
        <w:rPr>
          <w:rFonts w:ascii="Arial" w:hAnsi="Arial" w:cs="Arial"/>
          <w:b/>
          <w:sz w:val="28"/>
          <w:szCs w:val="28"/>
        </w:rPr>
        <w:t>ealth</w:t>
      </w:r>
      <w:r w:rsidR="00097FD6" w:rsidRPr="00EC6782">
        <w:rPr>
          <w:rFonts w:ascii="Arial" w:hAnsi="Arial" w:cs="Arial"/>
          <w:b/>
          <w:sz w:val="28"/>
          <w:szCs w:val="28"/>
        </w:rPr>
        <w:t xml:space="preserve"> (COSHH)</w:t>
      </w:r>
    </w:p>
    <w:p w14:paraId="39CA9207"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t>Staff follow the requirements of the Control of Substances Hazardous to Health (COSHH) Regulations 2002 (as amended) and associated Health and Safety Executive (HSE) guidance, as part of our wider duties under the Health and Safety at Work etc. Act 1974.</w:t>
      </w:r>
    </w:p>
    <w:p w14:paraId="6E74D499"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t>Suitable personal protective equipment (PPE) (for example, disposable non-latex gloves, aprons and eye protection where required) is provided free of charge, is readily available, and stocks are checked and replenished routinely. PPE selection considers individual needs and sensitivities (for example latex allergy), in line with Equality Act duties to make reasonable adjustments where required.</w:t>
      </w:r>
    </w:p>
    <w:p w14:paraId="7D194416"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t xml:space="preserve">Hazardous substances are kept to the minimum necessary and are stored securely in their original containers, clearly labelled, and out of children’s reach </w:t>
      </w:r>
      <w:proofErr w:type="gramStart"/>
      <w:r w:rsidRPr="00452450">
        <w:rPr>
          <w:rFonts w:ascii="Arial" w:hAnsi="Arial" w:cs="Arial"/>
          <w:sz w:val="22"/>
          <w:szCs w:val="22"/>
        </w:rPr>
        <w:t>at all times</w:t>
      </w:r>
      <w:proofErr w:type="gramEnd"/>
      <w:r w:rsidRPr="00452450">
        <w:rPr>
          <w:rFonts w:ascii="Arial" w:hAnsi="Arial" w:cs="Arial"/>
          <w:sz w:val="22"/>
          <w:szCs w:val="22"/>
        </w:rPr>
        <w:t xml:space="preserve"> (including during use and drying times), in accordance with EYFS safeguarding and welfare requirements.</w:t>
      </w:r>
    </w:p>
    <w:p w14:paraId="08CA542D"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t>Cleaning products and other substances are selected on a “least hazardous, effective for purpose” basis. Wherever reasonably practicable we eliminate hazardous substances, substitute safer alternatives, and use the lowest effective quantities to maintain hygiene and infection prevention.</w:t>
      </w:r>
    </w:p>
    <w:p w14:paraId="1A9BC438"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t>A COSHH risk assessment is completed for all hazardous substances and relevant processes used in the setting (including storage, handling, dilution, use and disposal). Assessments use manufacturer safety data sheets, set out required controls and PPE, and are reviewed regularly and whenever products, procedures, premises, staff needs or guidance change.</w:t>
      </w:r>
    </w:p>
    <w:p w14:paraId="4437C4E7"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t>Environmental impact is considered when selecting, using and disposing of products (for example, choosing safer, lower-toxicity options where possible and disposing of substances in line with product instructions and local authority waste requirements).</w:t>
      </w:r>
    </w:p>
    <w:p w14:paraId="7F51C4E4"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t>All staff use substances safely and in accordance with COSHH assessments, product instructions and training provided. Staff must report hazards, spills, defective containers, or any adverse reactions promptly, and follow the setting’s arrangements for accidents, incidents and emergencies.</w:t>
      </w:r>
    </w:p>
    <w:p w14:paraId="48CF17BD"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t>Bleach (sodium hypochlorite) is not used in the setting. If an exceptional circumstance arises where its use is required, this must be authorised by the Manager, covered by a specific COSHH assessment and method statement, and used only when children are not present, with appropriate controls and ventilation.</w:t>
      </w:r>
    </w:p>
    <w:p w14:paraId="37D832F7"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t>Anti-bacterial soap/hand wash is not routinely used. Where enhanced infection control is required (for example during an outbreak), any changes to products or procedures follow current public health advice and are risk assessed, including consideration of children’s and staff allergies and sensitivities.</w:t>
      </w:r>
    </w:p>
    <w:p w14:paraId="27E202C5"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t xml:space="preserve">Disinfectant and anti-bacterial cleaning products are used only where necessary (for example, toilets, nappy changing areas and food preparation areas) and in line with COSHH assessments. They are never used in a way that exposes children to sprays, fumes or wet surfaces; products are secured immediately after </w:t>
      </w:r>
      <w:proofErr w:type="gramStart"/>
      <w:r w:rsidRPr="00452450">
        <w:rPr>
          <w:rFonts w:ascii="Arial" w:hAnsi="Arial" w:cs="Arial"/>
          <w:sz w:val="22"/>
          <w:szCs w:val="22"/>
        </w:rPr>
        <w:t>use</w:t>
      </w:r>
      <w:proofErr w:type="gramEnd"/>
      <w:r w:rsidRPr="00452450">
        <w:rPr>
          <w:rFonts w:ascii="Arial" w:hAnsi="Arial" w:cs="Arial"/>
          <w:sz w:val="22"/>
          <w:szCs w:val="22"/>
        </w:rPr>
        <w:t xml:space="preserve"> and areas are left safe and dry before children access them.</w:t>
      </w:r>
    </w:p>
    <w:p w14:paraId="72166EE0" w14:textId="77777777" w:rsidR="00452450" w:rsidRPr="00452450" w:rsidRDefault="00452450" w:rsidP="00213E71">
      <w:pPr>
        <w:pStyle w:val="ListParagraph"/>
        <w:numPr>
          <w:ilvl w:val="0"/>
          <w:numId w:val="9"/>
        </w:numPr>
        <w:spacing w:line="360" w:lineRule="auto"/>
        <w:rPr>
          <w:kern w:val="2"/>
          <w14:ligatures w14:val="standardContextual"/>
        </w:rPr>
      </w:pPr>
      <w:r w:rsidRPr="00452450">
        <w:rPr>
          <w:rFonts w:ascii="Arial" w:hAnsi="Arial" w:cs="Arial"/>
          <w:sz w:val="22"/>
          <w:szCs w:val="22"/>
        </w:rPr>
        <w:lastRenderedPageBreak/>
        <w:t>Staff wear appropriate protective gloves when handling cleaning products or other substances where the COSHH assessment identifies a risk to skin or health. Gloves are selected to be suitable for the substance/task and to reduce the risk of allergy or dermatitis.</w:t>
      </w:r>
    </w:p>
    <w:sectPr w:rsidR="00452450" w:rsidRPr="00452450" w:rsidSect="00192A0B">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CAD7" w14:textId="77777777" w:rsidR="00BE5F4E" w:rsidRDefault="00BE5F4E">
      <w:r>
        <w:separator/>
      </w:r>
    </w:p>
  </w:endnote>
  <w:endnote w:type="continuationSeparator" w:id="0">
    <w:p w14:paraId="21CA317B" w14:textId="77777777" w:rsidR="00BE5F4E" w:rsidRDefault="00BE5F4E">
      <w:r>
        <w:continuationSeparator/>
      </w:r>
    </w:p>
  </w:endnote>
  <w:endnote w:type="continuationNotice" w:id="1">
    <w:p w14:paraId="76AB6C64" w14:textId="77777777" w:rsidR="00BE5F4E" w:rsidRDefault="00BE5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3491" w14:textId="12D52FBA" w:rsidR="00C501EF" w:rsidRPr="00504CD0" w:rsidRDefault="00C501EF">
    <w:pPr>
      <w:pStyle w:val="Footer"/>
      <w:rPr>
        <w:rFonts w:ascii="Arial" w:hAnsi="Arial" w:cs="Arial"/>
        <w:sz w:val="20"/>
      </w:rPr>
    </w:pPr>
    <w:r w:rsidRPr="00504CD0">
      <w:rPr>
        <w:rFonts w:ascii="Arial" w:hAnsi="Arial" w:cs="Arial"/>
        <w:i/>
        <w:iCs/>
        <w:sz w:val="20"/>
      </w:rPr>
      <w:t>Policies &amp; Procedures for the EYFS 2021</w:t>
    </w:r>
    <w:r w:rsidRPr="00504CD0">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07F2" w14:textId="77777777" w:rsidR="00BE5F4E" w:rsidRDefault="00BE5F4E">
      <w:r>
        <w:separator/>
      </w:r>
    </w:p>
  </w:footnote>
  <w:footnote w:type="continuationSeparator" w:id="0">
    <w:p w14:paraId="2C88B35F" w14:textId="77777777" w:rsidR="00BE5F4E" w:rsidRDefault="00BE5F4E">
      <w:r>
        <w:continuationSeparator/>
      </w:r>
    </w:p>
  </w:footnote>
  <w:footnote w:type="continuationNotice" w:id="1">
    <w:p w14:paraId="65F3A26E" w14:textId="77777777" w:rsidR="00BE5F4E" w:rsidRDefault="00BE5F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47F"/>
    <w:multiLevelType w:val="multilevel"/>
    <w:tmpl w:val="82D2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3"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8555572"/>
    <w:multiLevelType w:val="multilevel"/>
    <w:tmpl w:val="6B6A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6F57A5"/>
    <w:multiLevelType w:val="multilevel"/>
    <w:tmpl w:val="186A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AE4247E"/>
    <w:multiLevelType w:val="multilevel"/>
    <w:tmpl w:val="843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9652EF"/>
    <w:multiLevelType w:val="multilevel"/>
    <w:tmpl w:val="BB36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57718B"/>
    <w:multiLevelType w:val="multilevel"/>
    <w:tmpl w:val="8794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8"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01147BF"/>
    <w:multiLevelType w:val="multilevel"/>
    <w:tmpl w:val="6B8A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15A1622"/>
    <w:multiLevelType w:val="multilevel"/>
    <w:tmpl w:val="A0B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6ECB2925"/>
    <w:multiLevelType w:val="multilevel"/>
    <w:tmpl w:val="31BE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4"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6"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8325DCD"/>
    <w:multiLevelType w:val="multilevel"/>
    <w:tmpl w:val="8DD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45379D"/>
    <w:multiLevelType w:val="multilevel"/>
    <w:tmpl w:val="6A34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134444">
    <w:abstractNumId w:val="72"/>
  </w:num>
  <w:num w:numId="2" w16cid:durableId="2018535391">
    <w:abstractNumId w:val="1"/>
  </w:num>
  <w:num w:numId="3" w16cid:durableId="1780180898">
    <w:abstractNumId w:val="34"/>
  </w:num>
  <w:num w:numId="4" w16cid:durableId="523255323">
    <w:abstractNumId w:val="7"/>
  </w:num>
  <w:num w:numId="5" w16cid:durableId="1614362077">
    <w:abstractNumId w:val="2"/>
  </w:num>
  <w:num w:numId="6" w16cid:durableId="1535850876">
    <w:abstractNumId w:val="27"/>
  </w:num>
  <w:num w:numId="7" w16cid:durableId="1364550515">
    <w:abstractNumId w:val="37"/>
  </w:num>
  <w:num w:numId="8" w16cid:durableId="1370687075">
    <w:abstractNumId w:val="25"/>
  </w:num>
  <w:num w:numId="9" w16cid:durableId="427386514">
    <w:abstractNumId w:val="69"/>
  </w:num>
  <w:num w:numId="10" w16cid:durableId="978649173">
    <w:abstractNumId w:val="54"/>
  </w:num>
  <w:num w:numId="11" w16cid:durableId="1748917652">
    <w:abstractNumId w:val="51"/>
  </w:num>
  <w:num w:numId="12" w16cid:durableId="1975090956">
    <w:abstractNumId w:val="5"/>
  </w:num>
  <w:num w:numId="13" w16cid:durableId="1783959569">
    <w:abstractNumId w:val="66"/>
  </w:num>
  <w:num w:numId="14" w16cid:durableId="576866858">
    <w:abstractNumId w:val="75"/>
  </w:num>
  <w:num w:numId="15" w16cid:durableId="1684163648">
    <w:abstractNumId w:val="58"/>
  </w:num>
  <w:num w:numId="16" w16cid:durableId="1147163998">
    <w:abstractNumId w:val="77"/>
  </w:num>
  <w:num w:numId="17" w16cid:durableId="368605402">
    <w:abstractNumId w:val="68"/>
  </w:num>
  <w:num w:numId="18" w16cid:durableId="1655722305">
    <w:abstractNumId w:val="9"/>
  </w:num>
  <w:num w:numId="19" w16cid:durableId="1051920153">
    <w:abstractNumId w:val="38"/>
  </w:num>
  <w:num w:numId="20" w16cid:durableId="1678842385">
    <w:abstractNumId w:val="17"/>
  </w:num>
  <w:num w:numId="21" w16cid:durableId="295256578">
    <w:abstractNumId w:val="29"/>
  </w:num>
  <w:num w:numId="22" w16cid:durableId="150755544">
    <w:abstractNumId w:val="46"/>
  </w:num>
  <w:num w:numId="23" w16cid:durableId="768040928">
    <w:abstractNumId w:val="61"/>
  </w:num>
  <w:num w:numId="24" w16cid:durableId="1582447619">
    <w:abstractNumId w:val="59"/>
  </w:num>
  <w:num w:numId="25" w16cid:durableId="807674697">
    <w:abstractNumId w:val="50"/>
  </w:num>
  <w:num w:numId="26" w16cid:durableId="1137988144">
    <w:abstractNumId w:val="23"/>
  </w:num>
  <w:num w:numId="27" w16cid:durableId="1897887119">
    <w:abstractNumId w:val="67"/>
  </w:num>
  <w:num w:numId="28" w16cid:durableId="684939084">
    <w:abstractNumId w:val="41"/>
  </w:num>
  <w:num w:numId="29" w16cid:durableId="736706558">
    <w:abstractNumId w:val="52"/>
  </w:num>
  <w:num w:numId="30" w16cid:durableId="127825701">
    <w:abstractNumId w:val="74"/>
  </w:num>
  <w:num w:numId="31" w16cid:durableId="1388726630">
    <w:abstractNumId w:val="3"/>
  </w:num>
  <w:num w:numId="32" w16cid:durableId="1353798614">
    <w:abstractNumId w:val="12"/>
  </w:num>
  <w:num w:numId="33" w16cid:durableId="682897880">
    <w:abstractNumId w:val="43"/>
  </w:num>
  <w:num w:numId="34" w16cid:durableId="1277834365">
    <w:abstractNumId w:val="24"/>
  </w:num>
  <w:num w:numId="35" w16cid:durableId="2128696380">
    <w:abstractNumId w:val="19"/>
  </w:num>
  <w:num w:numId="36" w16cid:durableId="639961927">
    <w:abstractNumId w:val="15"/>
  </w:num>
  <w:num w:numId="37" w16cid:durableId="1993219747">
    <w:abstractNumId w:val="63"/>
  </w:num>
  <w:num w:numId="38" w16cid:durableId="771242420">
    <w:abstractNumId w:val="42"/>
  </w:num>
  <w:num w:numId="39" w16cid:durableId="1823962845">
    <w:abstractNumId w:val="65"/>
  </w:num>
  <w:num w:numId="40" w16cid:durableId="779571109">
    <w:abstractNumId w:val="31"/>
  </w:num>
  <w:num w:numId="41" w16cid:durableId="1633751759">
    <w:abstractNumId w:val="36"/>
  </w:num>
  <w:num w:numId="42" w16cid:durableId="393742916">
    <w:abstractNumId w:val="26"/>
  </w:num>
  <w:num w:numId="43" w16cid:durableId="1210914967">
    <w:abstractNumId w:val="76"/>
  </w:num>
  <w:num w:numId="44" w16cid:durableId="456798569">
    <w:abstractNumId w:val="18"/>
  </w:num>
  <w:num w:numId="45" w16cid:durableId="1483160741">
    <w:abstractNumId w:val="6"/>
  </w:num>
  <w:num w:numId="46" w16cid:durableId="7888618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496610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7183642">
    <w:abstractNumId w:val="21"/>
  </w:num>
  <w:num w:numId="49" w16cid:durableId="709957417">
    <w:abstractNumId w:val="22"/>
  </w:num>
  <w:num w:numId="50" w16cid:durableId="117009512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1695992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96554878">
    <w:abstractNumId w:val="80"/>
  </w:num>
  <w:num w:numId="53" w16cid:durableId="890387597">
    <w:abstractNumId w:val="53"/>
  </w:num>
  <w:num w:numId="54" w16cid:durableId="1029331717">
    <w:abstractNumId w:val="55"/>
  </w:num>
  <w:num w:numId="55" w16cid:durableId="1550532644">
    <w:abstractNumId w:val="73"/>
  </w:num>
  <w:num w:numId="56" w16cid:durableId="1364750044">
    <w:abstractNumId w:val="47"/>
  </w:num>
  <w:num w:numId="57" w16cid:durableId="1917402026">
    <w:abstractNumId w:val="8"/>
  </w:num>
  <w:num w:numId="58" w16cid:durableId="315453068">
    <w:abstractNumId w:val="45"/>
  </w:num>
  <w:num w:numId="59" w16cid:durableId="515654648">
    <w:abstractNumId w:val="20"/>
  </w:num>
  <w:num w:numId="60" w16cid:durableId="685518544">
    <w:abstractNumId w:val="33"/>
  </w:num>
  <w:num w:numId="61" w16cid:durableId="537275314">
    <w:abstractNumId w:val="40"/>
  </w:num>
  <w:num w:numId="62" w16cid:durableId="390427067">
    <w:abstractNumId w:val="14"/>
  </w:num>
  <w:num w:numId="63" w16cid:durableId="1423408721">
    <w:abstractNumId w:val="48"/>
  </w:num>
  <w:num w:numId="64" w16cid:durableId="2121994505">
    <w:abstractNumId w:val="10"/>
  </w:num>
  <w:num w:numId="65" w16cid:durableId="688797374">
    <w:abstractNumId w:val="57"/>
  </w:num>
  <w:num w:numId="66" w16cid:durableId="1702514105">
    <w:abstractNumId w:val="35"/>
  </w:num>
  <w:num w:numId="67" w16cid:durableId="1466896255">
    <w:abstractNumId w:val="11"/>
  </w:num>
  <w:num w:numId="68" w16cid:durableId="1390350140">
    <w:abstractNumId w:val="39"/>
  </w:num>
  <w:num w:numId="69" w16cid:durableId="1083452410">
    <w:abstractNumId w:val="70"/>
  </w:num>
  <w:num w:numId="70" w16cid:durableId="1430737777">
    <w:abstractNumId w:val="44"/>
  </w:num>
  <w:num w:numId="71" w16cid:durableId="1747535153">
    <w:abstractNumId w:val="13"/>
  </w:num>
  <w:num w:numId="72" w16cid:durableId="1956131147">
    <w:abstractNumId w:val="0"/>
  </w:num>
  <w:num w:numId="73" w16cid:durableId="206143422">
    <w:abstractNumId w:val="32"/>
  </w:num>
  <w:num w:numId="74" w16cid:durableId="1872067484">
    <w:abstractNumId w:val="78"/>
  </w:num>
  <w:num w:numId="75" w16cid:durableId="1146507414">
    <w:abstractNumId w:val="79"/>
  </w:num>
  <w:num w:numId="76" w16cid:durableId="35128092">
    <w:abstractNumId w:val="64"/>
  </w:num>
  <w:num w:numId="77" w16cid:durableId="392123395">
    <w:abstractNumId w:val="16"/>
  </w:num>
  <w:num w:numId="78" w16cid:durableId="548536708">
    <w:abstractNumId w:val="71"/>
  </w:num>
  <w:num w:numId="79" w16cid:durableId="1655330925">
    <w:abstractNumId w:val="4"/>
  </w:num>
  <w:num w:numId="80" w16cid:durableId="229073129">
    <w:abstractNumId w:val="49"/>
  </w:num>
  <w:num w:numId="81" w16cid:durableId="1367100262">
    <w:abstractNumId w:val="62"/>
  </w:num>
  <w:num w:numId="82" w16cid:durableId="47146540">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3DD0"/>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311"/>
    <w:rsid w:val="001F1818"/>
    <w:rsid w:val="001F3750"/>
    <w:rsid w:val="001F714E"/>
    <w:rsid w:val="00202404"/>
    <w:rsid w:val="0020242C"/>
    <w:rsid w:val="00205585"/>
    <w:rsid w:val="00213E71"/>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2450"/>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C573F"/>
    <w:rsid w:val="004D05D1"/>
    <w:rsid w:val="004E0BF8"/>
    <w:rsid w:val="004E2AAE"/>
    <w:rsid w:val="004E4B33"/>
    <w:rsid w:val="004E7ED4"/>
    <w:rsid w:val="004F293A"/>
    <w:rsid w:val="004F724B"/>
    <w:rsid w:val="004F7A33"/>
    <w:rsid w:val="00502BD6"/>
    <w:rsid w:val="00503155"/>
    <w:rsid w:val="005046A3"/>
    <w:rsid w:val="00504CD0"/>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71CE0"/>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E5F4E"/>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46FBC"/>
    <w:rsid w:val="00C501EF"/>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93C6F"/>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1717"/>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6782"/>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0C866251-0589-4E4A-9F4A-F265BEF29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2930</Characters>
  <Application>Microsoft Office Word</Application>
  <DocSecurity>0</DocSecurity>
  <Lines>53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4</cp:revision>
  <cp:lastPrinted>2018-05-03T11:09:00Z</cp:lastPrinted>
  <dcterms:created xsi:type="dcterms:W3CDTF">2026-04-27T13:49:00Z</dcterms:created>
  <dcterms:modified xsi:type="dcterms:W3CDTF">2026-04-27T13:56:00Z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